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 w14:paraId="4CB25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 w14:paraId="6E26262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 w14:paraId="02F2C5FE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6876BBF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 w14:paraId="0EEF7C6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彭小芳 </w:t>
            </w:r>
          </w:p>
        </w:tc>
        <w:tc>
          <w:tcPr>
            <w:tcW w:w="1000" w:type="dxa"/>
            <w:gridSpan w:val="2"/>
            <w:vAlign w:val="center"/>
          </w:tcPr>
          <w:p w14:paraId="1AE496C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14:paraId="2B2DDBD1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女</w:t>
            </w:r>
          </w:p>
        </w:tc>
        <w:tc>
          <w:tcPr>
            <w:tcW w:w="1410" w:type="dxa"/>
            <w:vAlign w:val="center"/>
          </w:tcPr>
          <w:p w14:paraId="0D8DB66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 w14:paraId="3D29DB4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1995.01</w:t>
            </w:r>
          </w:p>
        </w:tc>
        <w:tc>
          <w:tcPr>
            <w:tcW w:w="1521" w:type="dxa"/>
            <w:gridSpan w:val="2"/>
            <w:vAlign w:val="center"/>
          </w:tcPr>
          <w:p w14:paraId="4B8A4A2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 w14:paraId="2FB1EBC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2023.2</w:t>
            </w:r>
          </w:p>
        </w:tc>
        <w:tc>
          <w:tcPr>
            <w:tcW w:w="818" w:type="dxa"/>
            <w:vMerge w:val="restart"/>
            <w:vAlign w:val="center"/>
          </w:tcPr>
          <w:p w14:paraId="45F781A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 w14:paraId="7897E3B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C1DD5E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BFC89A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AE1634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AE207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4079B0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E51BA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727506F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 w14:paraId="45B73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 w14:paraId="488B388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0FFE275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14:paraId="02BE12E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专技12级 </w:t>
            </w:r>
          </w:p>
          <w:p w14:paraId="72A5EA0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助教级</w:t>
            </w:r>
          </w:p>
        </w:tc>
        <w:tc>
          <w:tcPr>
            <w:tcW w:w="1000" w:type="dxa"/>
            <w:gridSpan w:val="2"/>
            <w:vAlign w:val="center"/>
          </w:tcPr>
          <w:p w14:paraId="181B26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 w14:paraId="25F2463E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14:paraId="756B342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2024.2</w:t>
            </w:r>
          </w:p>
        </w:tc>
        <w:tc>
          <w:tcPr>
            <w:tcW w:w="1410" w:type="dxa"/>
            <w:vAlign w:val="center"/>
          </w:tcPr>
          <w:p w14:paraId="3EB86B8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14:paraId="33D0246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表演</w:t>
            </w:r>
          </w:p>
        </w:tc>
        <w:tc>
          <w:tcPr>
            <w:tcW w:w="1521" w:type="dxa"/>
            <w:gridSpan w:val="2"/>
            <w:vAlign w:val="center"/>
          </w:tcPr>
          <w:p w14:paraId="6C6AB81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 w14:paraId="078A4F1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 w14:paraId="14D976D7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26EC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 w14:paraId="16951E5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 w14:paraId="58AC5B5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14:paraId="7976B47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 w14:paraId="1B77583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7C6AE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9" w:hRule="atLeast"/>
        </w:trPr>
        <w:tc>
          <w:tcPr>
            <w:tcW w:w="540" w:type="dxa"/>
            <w:vMerge w:val="continue"/>
            <w:vAlign w:val="center"/>
          </w:tcPr>
          <w:p w14:paraId="72094B9A"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 w14:paraId="29FC244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2009.09-2012.06，就读于冷水江市第一中学，2012年高中毕业；</w:t>
            </w:r>
          </w:p>
          <w:p w14:paraId="38FD2FAD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2012.09-2016.06，就读于四川师范大学文理学院表演（音乐舞蹈方向）专业，2016年大学毕业取得本科学士学位。</w:t>
            </w:r>
          </w:p>
          <w:p w14:paraId="7C51712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 w14:paraId="2A30BD9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2023.02-至今，娄底开放大学，在继续教育学院从事老年教育。</w:t>
            </w:r>
          </w:p>
        </w:tc>
        <w:tc>
          <w:tcPr>
            <w:tcW w:w="818" w:type="dxa"/>
            <w:vMerge w:val="continue"/>
            <w:vAlign w:val="center"/>
          </w:tcPr>
          <w:p w14:paraId="20BC661B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D41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4FD751A8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 w14:paraId="4627AF2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14:paraId="696B857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 w14:paraId="2AF04E5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 w14:paraId="412CDEC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学士</w:t>
            </w:r>
          </w:p>
        </w:tc>
        <w:tc>
          <w:tcPr>
            <w:tcW w:w="1672" w:type="dxa"/>
            <w:gridSpan w:val="2"/>
            <w:vAlign w:val="center"/>
          </w:tcPr>
          <w:p w14:paraId="5E48C31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 w14:paraId="6C4056E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672" w:type="dxa"/>
            <w:gridSpan w:val="2"/>
            <w:vAlign w:val="center"/>
          </w:tcPr>
          <w:p w14:paraId="71A43E3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14:paraId="2ACFF24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18" w:type="dxa"/>
            <w:vMerge w:val="continue"/>
            <w:vAlign w:val="center"/>
          </w:tcPr>
          <w:p w14:paraId="087EDE6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B68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339B6081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47DA12A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14:paraId="6ED40400"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1635" w:type="dxa"/>
            <w:gridSpan w:val="2"/>
            <w:vAlign w:val="center"/>
          </w:tcPr>
          <w:p w14:paraId="6F26C855"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 w14:paraId="137F90DF"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14:paraId="2D94AB6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 w14:paraId="5293A62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14:paraId="080969E1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 w14:paraId="69095FF7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BF6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199DE352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22DBAFF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5380B718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 w14:paraId="2EBC7F4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 w14:paraId="6075F70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314C4E9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 w14:paraId="1667E9E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 w14:paraId="14D81DC5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HNLDLX202337455218</w:t>
            </w:r>
          </w:p>
        </w:tc>
        <w:tc>
          <w:tcPr>
            <w:tcW w:w="818" w:type="dxa"/>
            <w:vMerge w:val="continue"/>
            <w:vAlign w:val="center"/>
          </w:tcPr>
          <w:p w14:paraId="3AFCBDB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A4F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6BE3D6F5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1C33EC5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14:paraId="270F9671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1635" w:type="dxa"/>
            <w:gridSpan w:val="2"/>
            <w:vAlign w:val="center"/>
          </w:tcPr>
          <w:p w14:paraId="78B7B59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 w14:paraId="069CED6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14:paraId="141CDCE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 w14:paraId="5EF27AE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14:paraId="55706E6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 w14:paraId="064B703A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FB5D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2EFA2E94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3D391CEC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0666269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 w14:paraId="798DA0E3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 w14:paraId="6AEB91E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3B70F45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 w14:paraId="6597142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 w14:paraId="5348D21F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6357CEFE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AD2F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 w14:paraId="53C57BB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 w14:paraId="53952B1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14:paraId="3AD3DF5B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" w:lineRule="atLeast"/>
              <w:ind w:left="0" w:right="0" w:firstLine="420" w:firstLineChars="20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该同志在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学生</w:t>
            </w: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的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教育工作业绩主要体现在以下几个方面：通过系统的思想政治教育，学生的政治觉悟和道德水平有了显著提升，形成了积极向上的校园氛围。采用多样化的教学手段和互动方式，社会实践、在线课程等，有效提高了学生的学习兴趣和参与度。针对学生在思想、学习、生活等方面的问题，及时开展心理辅导和帮扶工作，帮助学生解决实际困难，促进其全面发展。这些业绩的取得，离不开教育工作者的辛勤付出和不断创新，也为学生未来的成长和发展奠定了坚实的基础。</w:t>
            </w:r>
          </w:p>
          <w:p w14:paraId="46BCA8B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Align w:val="center"/>
          </w:tcPr>
          <w:p w14:paraId="47B8BDA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 w14:paraId="4CFAEB63">
      <w:r>
        <w:br w:type="page"/>
      </w:r>
    </w:p>
    <w:tbl>
      <w:tblPr>
        <w:tblStyle w:val="7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2072"/>
        <w:gridCol w:w="2907"/>
        <w:gridCol w:w="1506"/>
        <w:gridCol w:w="1986"/>
        <w:gridCol w:w="2272"/>
        <w:gridCol w:w="1643"/>
        <w:gridCol w:w="871"/>
      </w:tblGrid>
      <w:tr w14:paraId="1378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8"/>
            <w:vAlign w:val="center"/>
          </w:tcPr>
          <w:p w14:paraId="7346322C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 w14:paraId="0259EFB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 w14:paraId="650C4B0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 w14:paraId="16CBE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 w14:paraId="24C2E2AE"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7"/>
            <w:vAlign w:val="center"/>
          </w:tcPr>
          <w:p w14:paraId="416CE98C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" w:lineRule="atLeast"/>
              <w:ind w:right="0" w:firstLine="420" w:firstLineChars="20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思想政治方面：</w:t>
            </w: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该同志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始终坚持正确的政治方向，深入学习党的教育方针政策，积极践行社会主义核心价值观，不断提升自身的思想政治素养。在工作中，能够坚决拥护党的领导，忠诚于党的教育事业，始终保持高度的政治敏锐性和责任感。</w:t>
            </w:r>
          </w:p>
          <w:p w14:paraId="0964B4D9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" w:lineRule="atLeast"/>
              <w:ind w:left="0" w:right="0" w:firstLine="420" w:firstLineChars="20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师德师风方面：</w:t>
            </w: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该同志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始终秉持“学高为师，身正为范”的教育理念，注重师德修养，以身作则，树立良好的教师形象。在教学过程中，关爱学生，尊重学生个性发展，公平公正对待每一位学生。同时，积极参与师德师风建设活动，不断提升自身的职业道德水平，努力成为学生成长道路上的引路人。</w:t>
            </w:r>
          </w:p>
          <w:p w14:paraId="11A59A55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</w:tcPr>
          <w:p w14:paraId="0FE88C3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D55AA15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5AB00C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18AE8A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ED7AB5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89012B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07E8191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9E64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 w14:paraId="1225A7E1"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</w:t>
            </w:r>
          </w:p>
        </w:tc>
        <w:tc>
          <w:tcPr>
            <w:tcW w:w="5814" w:type="dxa"/>
            <w:gridSpan w:val="3"/>
            <w:vAlign w:val="center"/>
          </w:tcPr>
          <w:p w14:paraId="77E5FEB2"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14:paraId="4842E280"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14:paraId="01110D8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AAA030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581120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0F1A55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2DC208A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94F9CC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6AB0E6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9D5A9C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47BCB5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3E09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 w14:paraId="4F3837A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restart"/>
            <w:vAlign w:val="center"/>
          </w:tcPr>
          <w:p w14:paraId="718C1CA4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" w:lineRule="atLeast"/>
              <w:ind w:left="0" w:right="0" w:firstLine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1.该同志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具备扎实的专业知识与教学技能，能够灵活运用多种教学方法和手段，激发学生学习兴趣，提升教学效果。同时，本人还注重教学反思与改进，通过不断总结经验，优化教学设计，提高教学质量。</w:t>
            </w:r>
          </w:p>
          <w:p w14:paraId="63A58061"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.该同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志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积极履行开放教育班主任职责，有效开展学生思想教育工作，促进学生全面发展。同时，</w:t>
            </w: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负责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老年大学的</w:t>
            </w: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日常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管理工作，注重老年人的精神文化建设，营造积极向上的学习氛围，赢得了广泛好评。</w:t>
            </w:r>
          </w:p>
          <w:p w14:paraId="3B951E5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74EC0240"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 w14:paraId="68871084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 w14:paraId="74A4333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14:paraId="210EBA89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 w14:paraId="21A1539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14:paraId="3D1FFFF8">
            <w:pPr>
              <w:ind w:firstLine="420" w:firstLineChars="200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 w14:paraId="274484EE"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395B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525" w:type="dxa"/>
            <w:vMerge w:val="continue"/>
            <w:vAlign w:val="center"/>
          </w:tcPr>
          <w:p w14:paraId="2EE42CD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continue"/>
            <w:vAlign w:val="center"/>
          </w:tcPr>
          <w:p w14:paraId="5743BAF9">
            <w:pPr>
              <w:jc w:val="both"/>
            </w:pPr>
          </w:p>
        </w:tc>
        <w:tc>
          <w:tcPr>
            <w:tcW w:w="1506" w:type="dxa"/>
            <w:vMerge w:val="restart"/>
            <w:vAlign w:val="center"/>
          </w:tcPr>
          <w:p w14:paraId="0240258F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</w:t>
            </w:r>
          </w:p>
          <w:p w14:paraId="4314301E">
            <w:pPr>
              <w:jc w:val="both"/>
              <w:rPr>
                <w:rFonts w:hint="eastAsia"/>
                <w:lang w:val="en-US" w:eastAsia="zh-CN"/>
              </w:rPr>
            </w:pPr>
          </w:p>
          <w:p w14:paraId="3AEBB201">
            <w:pPr>
              <w:jc w:val="both"/>
              <w:rPr>
                <w:rFonts w:hint="eastAsia"/>
                <w:lang w:val="en-US" w:eastAsia="zh-CN"/>
              </w:rPr>
            </w:pPr>
          </w:p>
          <w:p w14:paraId="7F5AEB51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2024年</w:t>
            </w:r>
          </w:p>
        </w:tc>
        <w:tc>
          <w:tcPr>
            <w:tcW w:w="1986" w:type="dxa"/>
            <w:vMerge w:val="restart"/>
            <w:vAlign w:val="center"/>
          </w:tcPr>
          <w:p w14:paraId="03157E0B">
            <w:pPr>
              <w:jc w:val="left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学前儿童艺术教育（音乐）</w:t>
            </w: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、学前儿童语言教育活动知道等；</w:t>
            </w:r>
          </w:p>
          <w:p w14:paraId="440A0C17">
            <w:pPr>
              <w:jc w:val="left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学前儿童音乐教育活动指导、学前儿童社会教育活动指导等；</w:t>
            </w:r>
          </w:p>
        </w:tc>
        <w:tc>
          <w:tcPr>
            <w:tcW w:w="2272" w:type="dxa"/>
            <w:vMerge w:val="restart"/>
            <w:vAlign w:val="center"/>
          </w:tcPr>
          <w:p w14:paraId="465FA079">
            <w:pPr>
              <w:ind w:firstLine="420" w:firstLineChars="20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学前儿童艺术教育（音乐）</w:t>
            </w: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等</w:t>
            </w:r>
          </w:p>
          <w:p w14:paraId="00A898DB">
            <w:pPr>
              <w:ind w:firstLine="420" w:firstLineChars="20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 w14:paraId="46DF3AFA">
            <w:pPr>
              <w:ind w:firstLine="420" w:firstLineChars="20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 w14:paraId="360972C8">
            <w:pPr>
              <w:ind w:firstLine="420" w:firstLineChars="20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学前儿童音乐教育活动指导等</w:t>
            </w:r>
          </w:p>
          <w:p w14:paraId="089F3F6F">
            <w:pPr>
              <w:ind w:firstLine="420" w:firstLineChars="20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43" w:type="dxa"/>
            <w:vMerge w:val="restart"/>
            <w:vAlign w:val="center"/>
          </w:tcPr>
          <w:p w14:paraId="21F2D88E"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430</w:t>
            </w:r>
          </w:p>
          <w:p w14:paraId="0B5A62F1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 w14:paraId="412462E0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 w14:paraId="7CF187C4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 w14:paraId="3438469E">
            <w:pPr>
              <w:ind w:firstLine="420" w:firstLineChars="2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430</w:t>
            </w:r>
          </w:p>
        </w:tc>
        <w:tc>
          <w:tcPr>
            <w:tcW w:w="871" w:type="dxa"/>
            <w:vMerge w:val="continue"/>
          </w:tcPr>
          <w:p w14:paraId="5FA370F0">
            <w:pPr>
              <w:ind w:firstLine="420" w:firstLineChars="200"/>
              <w:jc w:val="center"/>
            </w:pPr>
          </w:p>
        </w:tc>
      </w:tr>
      <w:tr w14:paraId="5D9D9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525" w:type="dxa"/>
            <w:vMerge w:val="continue"/>
            <w:vAlign w:val="center"/>
          </w:tcPr>
          <w:p w14:paraId="5114EAD5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restart"/>
            <w:vAlign w:val="center"/>
          </w:tcPr>
          <w:p w14:paraId="375B92FA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sz w:val="18"/>
                <w:szCs w:val="21"/>
              </w:rPr>
              <w:t>国内外访学、脱产学习培训、在职攻读学位脱产期间，援藏、援疆、援外、扶贫、乡村振兴、公派挂职（借调）期间，休产假、因公致伤一年之内，或因病半年之内的</w:t>
            </w:r>
            <w:r>
              <w:rPr>
                <w:rFonts w:hint="eastAsia"/>
                <w:sz w:val="18"/>
                <w:szCs w:val="21"/>
                <w:lang w:eastAsia="zh-CN"/>
              </w:rPr>
              <w:t>情况</w:t>
            </w:r>
          </w:p>
        </w:tc>
        <w:tc>
          <w:tcPr>
            <w:tcW w:w="2907" w:type="dxa"/>
            <w:vMerge w:val="restart"/>
            <w:vAlign w:val="center"/>
          </w:tcPr>
          <w:p w14:paraId="5387047C">
            <w:pPr>
              <w:jc w:val="left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06" w:type="dxa"/>
            <w:vMerge w:val="continue"/>
            <w:vAlign w:val="center"/>
          </w:tcPr>
          <w:p w14:paraId="290F64A0">
            <w:pPr>
              <w:ind w:firstLine="420" w:firstLineChars="200"/>
              <w:jc w:val="center"/>
            </w:pPr>
          </w:p>
        </w:tc>
        <w:tc>
          <w:tcPr>
            <w:tcW w:w="1986" w:type="dxa"/>
            <w:vMerge w:val="continue"/>
            <w:vAlign w:val="center"/>
          </w:tcPr>
          <w:p w14:paraId="161A33E6"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continue"/>
            <w:vAlign w:val="center"/>
          </w:tcPr>
          <w:p w14:paraId="1F8BB6A8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continue"/>
            <w:vAlign w:val="center"/>
          </w:tcPr>
          <w:p w14:paraId="53628250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2BF4EDCB">
            <w:pPr>
              <w:ind w:firstLine="420" w:firstLineChars="200"/>
              <w:jc w:val="center"/>
            </w:pPr>
          </w:p>
        </w:tc>
      </w:tr>
      <w:tr w14:paraId="678E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25" w:type="dxa"/>
            <w:vMerge w:val="continue"/>
            <w:vAlign w:val="center"/>
          </w:tcPr>
          <w:p w14:paraId="640CA3E1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continue"/>
            <w:vAlign w:val="center"/>
          </w:tcPr>
          <w:p w14:paraId="07849CE5">
            <w:pPr>
              <w:ind w:firstLine="420" w:firstLineChars="200"/>
              <w:jc w:val="center"/>
            </w:pPr>
          </w:p>
        </w:tc>
        <w:tc>
          <w:tcPr>
            <w:tcW w:w="2907" w:type="dxa"/>
            <w:vMerge w:val="continue"/>
            <w:vAlign w:val="center"/>
          </w:tcPr>
          <w:p w14:paraId="3EB9127D"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 w14:paraId="2A45DE0E">
            <w:p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年均学时</w:t>
            </w:r>
          </w:p>
        </w:tc>
        <w:tc>
          <w:tcPr>
            <w:tcW w:w="1986" w:type="dxa"/>
            <w:vAlign w:val="center"/>
          </w:tcPr>
          <w:p w14:paraId="44632666"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2272" w:type="dxa"/>
            <w:vAlign w:val="center"/>
          </w:tcPr>
          <w:p w14:paraId="1DF70F65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1B77DCB7">
            <w:pPr>
              <w:ind w:firstLine="420" w:firstLineChars="2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860</w:t>
            </w:r>
          </w:p>
        </w:tc>
        <w:tc>
          <w:tcPr>
            <w:tcW w:w="871" w:type="dxa"/>
            <w:vMerge w:val="continue"/>
          </w:tcPr>
          <w:p w14:paraId="500192B9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DA59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 w14:paraId="03EEEED2"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教育教学业绩成果</w:t>
            </w:r>
          </w:p>
        </w:tc>
        <w:tc>
          <w:tcPr>
            <w:tcW w:w="13221" w:type="dxa"/>
            <w:gridSpan w:val="7"/>
            <w:vAlign w:val="center"/>
          </w:tcPr>
          <w:p w14:paraId="6E22B721">
            <w:pPr>
              <w:ind w:firstLine="45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5073B"/>
                <w:spacing w:val="0"/>
                <w:sz w:val="22"/>
                <w:szCs w:val="22"/>
              </w:rPr>
              <w:t>该教师在教育教学领域取得了丰硕的成果，不仅为全日制农民大学生提供了高质量的美育（音乐）教育，有效提升了学生的艺术修养与审美能力，还成功担任了多届本科及专科不同专业（涵盖法学、工商管理、法律事务、土木工程等）的班主任工作，直接指导并促进了30名学生的全面发展。在老年教育领域，该教师同样表现出色，连续担任老年大学多个学期声乐班、柔力球班及新增非洲鼓班的班主任工作，累计指导学生人数超过110人，极大地丰富了老年人的精神文化生活，增强了他们的身心健康。此外，该教师还承担了继续教育学院老年大学的日常管理工作，展现了卓越的组织协调能力和对教育事业的深厚热情，为构建终身教育体系、促进社会和谐做出了积极贡献。</w:t>
            </w:r>
          </w:p>
          <w:p w14:paraId="4CB548E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54B02D4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76224C3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03BE3D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3416269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545D52F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1FB2E293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 w14:paraId="693F420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5CB48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3E9DF4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11FC2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0F3960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B17EB7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1981A56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2BF7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 w14:paraId="574261B1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 w14:paraId="4FFC4366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6"/>
            <w:vAlign w:val="center"/>
          </w:tcPr>
          <w:p w14:paraId="51C8001B">
            <w:p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论文（著作）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无</w:t>
            </w:r>
          </w:p>
          <w:p w14:paraId="36EAF3E4">
            <w:pPr>
              <w:jc w:val="both"/>
              <w:rPr>
                <w:rFonts w:hint="eastAsia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科研成果：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无</w:t>
            </w:r>
          </w:p>
          <w:p w14:paraId="504142E1"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论文类型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：无</w:t>
            </w:r>
          </w:p>
          <w:p w14:paraId="07C88078">
            <w:p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著作类型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：无</w:t>
            </w:r>
          </w:p>
          <w:p w14:paraId="6B15D845"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成果性质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  <w:p w14:paraId="439ADEB6"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 w14:paraId="1AD7456F"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 w14:paraId="092B1615"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 w14:paraId="56E9E474">
            <w:pPr>
              <w:jc w:val="both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 w14:paraId="08705242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 w14:paraId="7EFF0A5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69173F0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8458D1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D34B9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49C2CF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095BE4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581C9BE4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DEBF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 w14:paraId="5906C72A">
            <w:pPr>
              <w:jc w:val="both"/>
            </w:pPr>
          </w:p>
        </w:tc>
        <w:tc>
          <w:tcPr>
            <w:tcW w:w="835" w:type="dxa"/>
            <w:vAlign w:val="center"/>
          </w:tcPr>
          <w:p w14:paraId="1B20DE40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6"/>
            <w:vAlign w:val="center"/>
          </w:tcPr>
          <w:p w14:paraId="296E885F">
            <w:pPr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纵向项目：</w:t>
            </w: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  <w:p w14:paraId="7AE4A972"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项目性质：</w:t>
            </w: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  <w:p w14:paraId="77FE8EDD">
            <w:pPr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横向项目：</w:t>
            </w: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  <w:p w14:paraId="4765BF21">
            <w:pPr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项目性质：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无</w:t>
            </w:r>
          </w:p>
          <w:p w14:paraId="659F2C3F">
            <w:pPr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科研成果获奖、转化情况：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无</w:t>
            </w:r>
          </w:p>
          <w:p w14:paraId="5F27CB2C"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 w14:paraId="4DF20D2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 w14:paraId="56A91F6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59C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 w14:paraId="17BCB2C8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7"/>
            <w:vAlign w:val="center"/>
          </w:tcPr>
          <w:p w14:paraId="6AB32A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双师双能教师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：无</w:t>
            </w:r>
          </w:p>
          <w:p w14:paraId="2DDB8F29">
            <w:p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科研成果获奖、转化情况：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无</w:t>
            </w:r>
          </w:p>
          <w:p w14:paraId="6F0317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 w14:paraId="343587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 w14:paraId="4673F961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21C7C5F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FE2248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95DD0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E0B455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8DDCC98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1B225BEC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 w14:paraId="7DB35ABF"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公示结果（有异议</w:t>
      </w:r>
      <w:r>
        <w:rPr>
          <w:rFonts w:hint="eastAsia"/>
          <w:lang w:val="en-US" w:eastAsia="zh-CN"/>
        </w:rPr>
        <w:t>/无异议</w:t>
      </w:r>
      <w:r>
        <w:rPr>
          <w:rFonts w:hint="eastAsia"/>
          <w:lang w:eastAsia="zh-CN"/>
        </w:rPr>
        <w:t>）：</w:t>
      </w:r>
      <w:r>
        <w:rPr>
          <w:rFonts w:hint="eastAsia"/>
          <w:lang w:val="en-US" w:eastAsia="zh-CN"/>
        </w:rPr>
        <w:t xml:space="preserve">             单位（公章）：                单位审核责任人签名：                填表日期：2024年10月16日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8029088A-FDC0-44EC-A57B-415D4B0D5E6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D0B250D9-5A80-432C-AF3E-DBC9FA758D3B}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  <w:embedRegular r:id="rId3" w:fontKey="{827D7B86-AABD-4DBE-994F-32BF518E1C09}"/>
  </w:font>
  <w:font w:name="PingFang-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DA20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44C1B9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44C1B9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4DD93"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 w14:paraId="5CAEFC98">
    <w:pPr>
      <w:pStyle w:val="4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>娄底开放大学</w:t>
    </w:r>
    <w:r>
      <w:rPr>
        <w:rFonts w:hint="eastAsia"/>
        <w:sz w:val="30"/>
        <w:szCs w:val="30"/>
        <w:u w:val="none"/>
        <w:lang w:val="en-US" w:eastAsia="zh-CN"/>
      </w:rPr>
      <w:t xml:space="preserve">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>彭小芳</w:t>
    </w:r>
    <w:r>
      <w:rPr>
        <w:rFonts w:hint="eastAsia"/>
        <w:sz w:val="30"/>
        <w:szCs w:val="30"/>
        <w:u w:val="none"/>
        <w:lang w:val="en-US" w:eastAsia="zh-CN"/>
      </w:rPr>
      <w:t xml:space="preserve"> 申报职称：</w:t>
    </w:r>
    <w:r>
      <w:rPr>
        <w:rFonts w:hint="eastAsia"/>
        <w:sz w:val="30"/>
        <w:szCs w:val="30"/>
        <w:u w:val="single"/>
        <w:lang w:val="en-US" w:eastAsia="zh-CN"/>
      </w:rPr>
      <w:t>初级</w:t>
    </w:r>
    <w:r>
      <w:rPr>
        <w:rFonts w:hint="eastAsia"/>
        <w:sz w:val="30"/>
        <w:szCs w:val="30"/>
        <w:u w:val="none"/>
        <w:lang w:val="en-US" w:eastAsia="zh-CN"/>
      </w:rPr>
      <w:t xml:space="preserve">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 表演（音乐舞蹈）</w:t>
    </w:r>
    <w:r>
      <w:rPr>
        <w:rFonts w:hint="eastAsia"/>
        <w:sz w:val="30"/>
        <w:szCs w:val="30"/>
        <w:u w:val="none"/>
        <w:lang w:val="en-US" w:eastAsia="zh-CN"/>
      </w:rPr>
      <w:t xml:space="preserve">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高教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kNTk0OGQwNzc2ZDc1ODFhMDBhY2U2ODUwNGEzNmUifQ=="/>
  </w:docVars>
  <w:rsids>
    <w:rsidRoot w:val="56A9350E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4DD6016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C1E4889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1829</Words>
  <Characters>1919</Characters>
  <Lines>0</Lines>
  <Paragraphs>0</Paragraphs>
  <TotalTime>280</TotalTime>
  <ScaleCrop>false</ScaleCrop>
  <LinksUpToDate>false</LinksUpToDate>
  <CharactersWithSpaces>1927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Dark Horse</cp:lastModifiedBy>
  <cp:lastPrinted>2024-10-17T06:48:27Z</cp:lastPrinted>
  <dcterms:modified xsi:type="dcterms:W3CDTF">2024-10-17T07:14:19Z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7341927E0D0F43169A40EC35672E39A2_13</vt:lpwstr>
  </property>
</Properties>
</file>